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569A5" w14:textId="67943F15" w:rsidR="000706E1" w:rsidRDefault="000706E1" w:rsidP="000706E1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D44F965" wp14:editId="139514FA">
            <wp:extent cx="1473200" cy="66594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910" cy="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8EC6" w14:textId="77777777" w:rsidR="000706E1" w:rsidRDefault="000706E1" w:rsidP="000706E1">
      <w:pPr>
        <w:spacing w:after="0"/>
        <w:rPr>
          <w:b/>
        </w:rPr>
      </w:pPr>
    </w:p>
    <w:p w14:paraId="745CD342" w14:textId="59526C46" w:rsidR="00CE1EE3" w:rsidRDefault="00CE1EE3" w:rsidP="000706E1">
      <w:pPr>
        <w:spacing w:after="0"/>
      </w:pPr>
      <w:bookmarkStart w:id="0" w:name="_GoBack"/>
      <w:bookmarkEnd w:id="0"/>
      <w:r w:rsidRPr="00CE1EE3">
        <w:rPr>
          <w:b/>
        </w:rPr>
        <w:t>First-year Research Immersion (FRI) Program Assistant Director</w:t>
      </w:r>
      <w:r>
        <w:t xml:space="preserve"> </w:t>
      </w:r>
    </w:p>
    <w:p w14:paraId="5AC14AEE" w14:textId="77777777" w:rsidR="000706E1" w:rsidRDefault="000706E1" w:rsidP="000706E1">
      <w:pPr>
        <w:spacing w:after="0"/>
      </w:pPr>
    </w:p>
    <w:p w14:paraId="2E029DB8" w14:textId="195B7C46" w:rsidR="00637193" w:rsidRPr="00637193" w:rsidRDefault="00637193" w:rsidP="000706E1">
      <w:pPr>
        <w:spacing w:after="0"/>
        <w:rPr>
          <w:b/>
        </w:rPr>
      </w:pPr>
      <w:r>
        <w:rPr>
          <w:b/>
        </w:rPr>
        <w:t>Job Description:</w:t>
      </w:r>
    </w:p>
    <w:p w14:paraId="27DCECF1" w14:textId="1079787A" w:rsidR="00D01DC7" w:rsidRDefault="00FD4BF2" w:rsidP="000706E1">
      <w:pPr>
        <w:spacing w:after="0"/>
      </w:pPr>
      <w:r w:rsidRPr="00FD4BF2">
        <w:t xml:space="preserve">The First-year Research Immersion (FRI) program </w:t>
      </w:r>
      <w:r w:rsidR="00180081">
        <w:t>is the foundation of</w:t>
      </w:r>
      <w:r w:rsidRPr="00FD4BF2">
        <w:t xml:space="preserve"> Binghamton University’s objective of giving every science and engineering major the opportunity to complete 2-3 course-based undergraduate research experiences (CUREs, high-impact learning practices</w:t>
      </w:r>
      <w:r w:rsidR="00180081">
        <w:t>)</w:t>
      </w:r>
      <w:r w:rsidRPr="00FD4BF2">
        <w:t xml:space="preserve">, prior to graduation and at least one CURE early in their college career. The FRI program </w:t>
      </w:r>
      <w:r w:rsidR="00180081">
        <w:t>collaborates</w:t>
      </w:r>
      <w:r w:rsidRPr="00FD4BF2">
        <w:t xml:space="preserve"> with every STEM department and many offices across campus utilizing a 3-pronged approach: a) the FRI </w:t>
      </w:r>
      <w:r w:rsidR="00180081">
        <w:t>provides</w:t>
      </w:r>
      <w:r w:rsidRPr="00FD4BF2">
        <w:t xml:space="preserve"> a three-semester sequence of CUREs</w:t>
      </w:r>
      <w:r w:rsidR="00180081">
        <w:t xml:space="preserve"> for each of</w:t>
      </w:r>
      <w:r w:rsidRPr="00FD4BF2">
        <w:t xml:space="preserve"> ten interdisciplinary research streams</w:t>
      </w:r>
      <w:r w:rsidR="00CE5602">
        <w:t xml:space="preserve"> </w:t>
      </w:r>
      <w:r w:rsidR="00180081">
        <w:t>for a total of</w:t>
      </w:r>
      <w:r w:rsidRPr="00FD4BF2">
        <w:t xml:space="preserve"> 300 science and engineering</w:t>
      </w:r>
      <w:r w:rsidR="004A1E2F">
        <w:t xml:space="preserve"> first-year</w:t>
      </w:r>
      <w:r w:rsidRPr="00FD4BF2">
        <w:t xml:space="preserve"> students each year, b) </w:t>
      </w:r>
      <w:r w:rsidR="00180081">
        <w:t xml:space="preserve">FRI assists with </w:t>
      </w:r>
      <w:r w:rsidRPr="00FD4BF2">
        <w:t xml:space="preserve">the transformation of </w:t>
      </w:r>
      <w:r w:rsidR="00B77C7B">
        <w:t xml:space="preserve">current </w:t>
      </w:r>
      <w:r w:rsidRPr="00FD4BF2">
        <w:t xml:space="preserve">introductory and advanced lab courses to CUREs in collaboration with staff and faculty across campus, and c) </w:t>
      </w:r>
      <w:r w:rsidR="00B77C7B">
        <w:t xml:space="preserve">FRI runs </w:t>
      </w:r>
      <w:r w:rsidRPr="00FD4BF2">
        <w:t>the Summer Research Immersion (SRI), a sequence of two intensive CUREs designed for students without research experience.</w:t>
      </w:r>
      <w:r w:rsidR="00DD4422">
        <w:t xml:space="preserve"> </w:t>
      </w:r>
      <w:r w:rsidR="00B77C7B">
        <w:t>Although involved in all of these aspects, t</w:t>
      </w:r>
      <w:r w:rsidRPr="00FD4BF2">
        <w:t xml:space="preserve">he </w:t>
      </w:r>
      <w:r w:rsidR="00B77C7B">
        <w:t>a</w:t>
      </w:r>
      <w:r w:rsidR="00B77C7B" w:rsidRPr="00FD4BF2">
        <w:t xml:space="preserve">ssistant </w:t>
      </w:r>
      <w:r w:rsidR="00B77C7B">
        <w:t>d</w:t>
      </w:r>
      <w:r w:rsidR="00B77C7B" w:rsidRPr="00FD4BF2">
        <w:t xml:space="preserve">irector </w:t>
      </w:r>
      <w:r w:rsidRPr="00FD4BF2">
        <w:t xml:space="preserve">will be closely involved in the next phase of the FRI program which will involve a greater focus on program assessment and educational research studies to determine the features of linked CURE sequences that influence STEM persistence, and students’ self-efficacy, identity and professional skill development. The assistant director will play a key role in </w:t>
      </w:r>
      <w:r w:rsidR="003678F5">
        <w:t>planning,</w:t>
      </w:r>
      <w:r w:rsidR="00B77C7B">
        <w:t xml:space="preserve"> </w:t>
      </w:r>
      <w:r w:rsidRPr="00FD4BF2">
        <w:t xml:space="preserve">overseeing </w:t>
      </w:r>
      <w:r w:rsidR="003678F5">
        <w:t xml:space="preserve">and tracking results of </w:t>
      </w:r>
      <w:r w:rsidRPr="00FD4BF2">
        <w:t xml:space="preserve">the FRI and SRI programs as well as aid in imagining future </w:t>
      </w:r>
      <w:r w:rsidR="004A1E2F">
        <w:t xml:space="preserve">program </w:t>
      </w:r>
      <w:r w:rsidRPr="00FD4BF2">
        <w:t xml:space="preserve">trajectories such as post-FRI </w:t>
      </w:r>
      <w:r w:rsidR="003678F5">
        <w:t xml:space="preserve">and SRI </w:t>
      </w:r>
      <w:r w:rsidRPr="00FD4BF2">
        <w:t>experiences and program enhancements</w:t>
      </w:r>
      <w:r w:rsidR="003678F5">
        <w:t>, which in turn will assist with overall recruitment, alumni relations, educational assessment and grant proposals</w:t>
      </w:r>
      <w:r w:rsidRPr="00FD4BF2">
        <w:t xml:space="preserve">. </w:t>
      </w:r>
    </w:p>
    <w:p w14:paraId="745A366C" w14:textId="77777777" w:rsidR="00FD4BF2" w:rsidRDefault="00FD4BF2" w:rsidP="000706E1">
      <w:pPr>
        <w:spacing w:after="0"/>
        <w:rPr>
          <w:b/>
        </w:rPr>
      </w:pPr>
    </w:p>
    <w:p w14:paraId="617AAB85" w14:textId="77777777" w:rsidR="00EB1FF9" w:rsidRPr="00CE1EE3" w:rsidRDefault="00EB1FF9" w:rsidP="000706E1">
      <w:pPr>
        <w:spacing w:after="0"/>
        <w:rPr>
          <w:b/>
        </w:rPr>
      </w:pPr>
      <w:r w:rsidRPr="00CE1EE3">
        <w:rPr>
          <w:b/>
        </w:rPr>
        <w:t>Summary of Responsibilities:</w:t>
      </w:r>
    </w:p>
    <w:p w14:paraId="3A130294" w14:textId="11A356C6" w:rsidR="008903FB" w:rsidRDefault="008903FB" w:rsidP="000706E1">
      <w:pPr>
        <w:pStyle w:val="ListParagraph"/>
        <w:numPr>
          <w:ilvl w:val="0"/>
          <w:numId w:val="7"/>
        </w:numPr>
        <w:spacing w:after="0"/>
      </w:pPr>
      <w:r>
        <w:t xml:space="preserve">Oversight of FRI student recruitment and retention including collaboration with undergraduate admissions and oversight of the FRI </w:t>
      </w:r>
      <w:r w:rsidR="00E60746">
        <w:t xml:space="preserve">student </w:t>
      </w:r>
      <w:r>
        <w:t>ambassador</w:t>
      </w:r>
      <w:r w:rsidR="00E60746">
        <w:t xml:space="preserve"> program</w:t>
      </w:r>
    </w:p>
    <w:p w14:paraId="41BE8812" w14:textId="380F33F1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Recruitment of SRI students and oversight of the general program structure</w:t>
      </w:r>
    </w:p>
    <w:p w14:paraId="47AF83C0" w14:textId="456878CA" w:rsidR="00E60746" w:rsidRPr="00CE1EE3" w:rsidRDefault="00E60746" w:rsidP="000706E1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Oversight of FRI course curriculum including preparation, revision and implementation of program wide course resources </w:t>
      </w:r>
    </w:p>
    <w:p w14:paraId="03603981" w14:textId="77777777" w:rsidR="009D678C" w:rsidRDefault="009D678C" w:rsidP="000706E1">
      <w:pPr>
        <w:pStyle w:val="ListParagraph"/>
        <w:numPr>
          <w:ilvl w:val="0"/>
          <w:numId w:val="7"/>
        </w:numPr>
        <w:spacing w:after="0"/>
      </w:pPr>
      <w:r>
        <w:t>Aid in planning, implementation and assessment of enhancement of undergraduate peer mentor (UGPM) training programs in FRI and SRI</w:t>
      </w:r>
    </w:p>
    <w:p w14:paraId="2D12BB41" w14:textId="1B47D89C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Plan</w:t>
      </w:r>
      <w:r w:rsidR="00CE5602">
        <w:t>ning</w:t>
      </w:r>
      <w:r>
        <w:t xml:space="preserve"> and implement</w:t>
      </w:r>
      <w:r w:rsidR="00CE5602">
        <w:t>ation of</w:t>
      </w:r>
      <w:r>
        <w:t xml:space="preserve"> FRI special events such as the </w:t>
      </w:r>
      <w:r w:rsidR="009D678C">
        <w:t xml:space="preserve">university-wide public </w:t>
      </w:r>
      <w:r>
        <w:t xml:space="preserve">annual FRI poster session </w:t>
      </w:r>
    </w:p>
    <w:p w14:paraId="767032EF" w14:textId="36559BDD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Planning, implementation</w:t>
      </w:r>
      <w:r w:rsidR="009D678C">
        <w:t>, assessment</w:t>
      </w:r>
      <w:r>
        <w:t xml:space="preserve"> and revision of post-program projects, events and placements</w:t>
      </w:r>
    </w:p>
    <w:p w14:paraId="657DED74" w14:textId="1D8ABAA5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 xml:space="preserve">Oversight </w:t>
      </w:r>
      <w:r w:rsidR="009D678C">
        <w:t xml:space="preserve">and assessment </w:t>
      </w:r>
      <w:r>
        <w:t>of program social media accounts</w:t>
      </w:r>
    </w:p>
    <w:p w14:paraId="6E2708EE" w14:textId="7B93B4F4" w:rsidR="009D678C" w:rsidRDefault="009D678C" w:rsidP="000706E1">
      <w:pPr>
        <w:pStyle w:val="ListParagraph"/>
        <w:numPr>
          <w:ilvl w:val="0"/>
          <w:numId w:val="7"/>
        </w:numPr>
        <w:spacing w:after="0"/>
      </w:pPr>
      <w:r>
        <w:t>Aid in recruitment and mentorship of FRI Research Educators (assistant research professors in charge of FRI tracks)</w:t>
      </w:r>
    </w:p>
    <w:p w14:paraId="3DFDE9F1" w14:textId="4CE97C75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Aid in FRI</w:t>
      </w:r>
      <w:r w:rsidR="00CE5602">
        <w:t xml:space="preserve"> and </w:t>
      </w:r>
      <w:r>
        <w:t>SRI program assessment, educational research studies</w:t>
      </w:r>
      <w:r w:rsidR="00CE5602">
        <w:t>,</w:t>
      </w:r>
      <w:r>
        <w:t xml:space="preserve"> dissemination</w:t>
      </w:r>
      <w:r w:rsidR="00CE5602">
        <w:t>, and grant-proposal writing</w:t>
      </w:r>
      <w:r>
        <w:t xml:space="preserve"> </w:t>
      </w:r>
    </w:p>
    <w:p w14:paraId="38E75631" w14:textId="470F669E" w:rsidR="00E60746" w:rsidRPr="00CE1EE3" w:rsidRDefault="00E60746" w:rsidP="000706E1">
      <w:pPr>
        <w:pStyle w:val="ListParagraph"/>
        <w:numPr>
          <w:ilvl w:val="0"/>
          <w:numId w:val="7"/>
        </w:numPr>
        <w:spacing w:after="0"/>
      </w:pPr>
      <w:r>
        <w:t>Collaborat</w:t>
      </w:r>
      <w:r w:rsidR="00CE5602">
        <w:t>ion</w:t>
      </w:r>
      <w:r>
        <w:t xml:space="preserve"> with STEM departments and other departments across campus to fulfill above responsibilities</w:t>
      </w:r>
    </w:p>
    <w:p w14:paraId="7C082989" w14:textId="61BC482B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Collaborat</w:t>
      </w:r>
      <w:r w:rsidR="00CE5602">
        <w:t>ion</w:t>
      </w:r>
      <w:r>
        <w:t xml:space="preserve"> with campus and national CURE and FRI type program initiatives </w:t>
      </w:r>
    </w:p>
    <w:p w14:paraId="3F4A3D13" w14:textId="1F18410B" w:rsidR="00E60746" w:rsidRDefault="00E60746" w:rsidP="000706E1">
      <w:pPr>
        <w:pStyle w:val="ListParagraph"/>
        <w:numPr>
          <w:ilvl w:val="0"/>
          <w:numId w:val="7"/>
        </w:numPr>
        <w:spacing w:after="0"/>
      </w:pPr>
      <w:r>
        <w:t>Miscellaneous activities in support of meeting goals of FRI program</w:t>
      </w:r>
    </w:p>
    <w:p w14:paraId="00A2643A" w14:textId="77777777" w:rsidR="00D01DC7" w:rsidRDefault="00D01DC7" w:rsidP="000706E1">
      <w:pPr>
        <w:spacing w:after="0"/>
        <w:rPr>
          <w:b/>
        </w:rPr>
      </w:pPr>
    </w:p>
    <w:p w14:paraId="70EBA98C" w14:textId="7256CB97" w:rsidR="00D01DC7" w:rsidRDefault="00713730" w:rsidP="000706E1">
      <w:pPr>
        <w:spacing w:after="0"/>
        <w:rPr>
          <w:b/>
        </w:rPr>
      </w:pPr>
      <w:r>
        <w:rPr>
          <w:b/>
        </w:rPr>
        <w:t>Requirements:</w:t>
      </w:r>
    </w:p>
    <w:p w14:paraId="06CD6335" w14:textId="77777777" w:rsidR="000706E1" w:rsidRDefault="000706E1" w:rsidP="000706E1">
      <w:pPr>
        <w:spacing w:after="0"/>
        <w:rPr>
          <w:b/>
        </w:rPr>
      </w:pPr>
    </w:p>
    <w:p w14:paraId="14C8A9E0" w14:textId="77777777" w:rsidR="000706E1" w:rsidRPr="000706E1" w:rsidRDefault="000706E1" w:rsidP="000706E1">
      <w:pPr>
        <w:spacing w:after="0"/>
      </w:pPr>
      <w:r w:rsidRPr="000706E1">
        <w:t>Visa sponsorship is not available for this position</w:t>
      </w:r>
    </w:p>
    <w:p w14:paraId="7129BF94" w14:textId="77777777" w:rsidR="000706E1" w:rsidRPr="000706E1" w:rsidRDefault="000706E1" w:rsidP="000706E1">
      <w:pPr>
        <w:spacing w:after="0"/>
      </w:pPr>
    </w:p>
    <w:p w14:paraId="69A77C5C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Expertise in STEM, STEM education or related field. Preferably PhD, otherwise Master's degree.</w:t>
      </w:r>
    </w:p>
    <w:p w14:paraId="595ACF54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Minimum 2 years' experience in CURE teaching, STEM education, STEM education research, or STEM assessment.</w:t>
      </w:r>
    </w:p>
    <w:p w14:paraId="0BD0B7AA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lastRenderedPageBreak/>
        <w:t>Experience in one more or more of these areas:</w:t>
      </w:r>
    </w:p>
    <w:p w14:paraId="6122A8AE" w14:textId="77777777" w:rsidR="000706E1" w:rsidRPr="000706E1" w:rsidRDefault="000706E1" w:rsidP="000706E1">
      <w:pPr>
        <w:pStyle w:val="ListParagraph"/>
        <w:numPr>
          <w:ilvl w:val="1"/>
          <w:numId w:val="12"/>
        </w:numPr>
        <w:spacing w:after="0"/>
      </w:pPr>
      <w:r w:rsidRPr="000706E1">
        <w:t>Undergraduate-level evidence-based STEM teaching pedagogy and curriculum development</w:t>
      </w:r>
    </w:p>
    <w:p w14:paraId="09AE16B2" w14:textId="77777777" w:rsidR="000706E1" w:rsidRPr="000706E1" w:rsidRDefault="000706E1" w:rsidP="000706E1">
      <w:pPr>
        <w:pStyle w:val="ListParagraph"/>
        <w:numPr>
          <w:ilvl w:val="1"/>
          <w:numId w:val="12"/>
        </w:numPr>
        <w:spacing w:after="0"/>
      </w:pPr>
      <w:r w:rsidRPr="000706E1">
        <w:t>Experience with design and implementation of Course-based Undergraduate Research Experience (CURE)</w:t>
      </w:r>
    </w:p>
    <w:p w14:paraId="76A96B53" w14:textId="77777777" w:rsidR="000706E1" w:rsidRPr="000706E1" w:rsidRDefault="000706E1" w:rsidP="000706E1">
      <w:pPr>
        <w:pStyle w:val="ListParagraph"/>
        <w:numPr>
          <w:ilvl w:val="1"/>
          <w:numId w:val="12"/>
        </w:numPr>
        <w:spacing w:after="0"/>
      </w:pPr>
      <w:r w:rsidRPr="000706E1">
        <w:t>Experience with evaluation of programs focused on STEM education reform</w:t>
      </w:r>
    </w:p>
    <w:p w14:paraId="5C8745FD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Demonstrated capacity for professional-level independence, perseverance and innovation, as well as the ability to work as part of a team.</w:t>
      </w:r>
    </w:p>
    <w:p w14:paraId="4C94D80C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Strong project management skills, such as detail orientation and attentiveness to timelines</w:t>
      </w:r>
    </w:p>
    <w:p w14:paraId="053115BC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Strong administrative skills and the ability to work collaboratively and effectively with administrators, faculty, students, and staff across all disciplines, programs and offices</w:t>
      </w:r>
    </w:p>
    <w:p w14:paraId="471B8AD0" w14:textId="77777777" w:rsidR="000706E1" w:rsidRPr="000706E1" w:rsidRDefault="000706E1" w:rsidP="000706E1">
      <w:pPr>
        <w:pStyle w:val="ListParagraph"/>
        <w:numPr>
          <w:ilvl w:val="0"/>
          <w:numId w:val="12"/>
        </w:numPr>
        <w:spacing w:after="0"/>
      </w:pPr>
      <w:r w:rsidRPr="000706E1">
        <w:t>Excellent interpersonal, communication, and leadership skills</w:t>
      </w:r>
    </w:p>
    <w:p w14:paraId="2269F29B" w14:textId="77777777" w:rsidR="000706E1" w:rsidRDefault="000706E1" w:rsidP="000706E1">
      <w:pPr>
        <w:spacing w:after="0"/>
      </w:pPr>
    </w:p>
    <w:p w14:paraId="231443B0" w14:textId="558CED83" w:rsidR="000706E1" w:rsidRPr="000706E1" w:rsidRDefault="000706E1" w:rsidP="000706E1">
      <w:pPr>
        <w:spacing w:after="0"/>
      </w:pPr>
      <w:r w:rsidRPr="000706E1">
        <w:t>Preferred:</w:t>
      </w:r>
    </w:p>
    <w:p w14:paraId="5B756AA3" w14:textId="77777777" w:rsidR="000706E1" w:rsidRPr="000706E1" w:rsidRDefault="000706E1" w:rsidP="000706E1">
      <w:pPr>
        <w:pStyle w:val="ListParagraph"/>
        <w:numPr>
          <w:ilvl w:val="0"/>
          <w:numId w:val="13"/>
        </w:numPr>
        <w:spacing w:after="0"/>
      </w:pPr>
      <w:r w:rsidRPr="000706E1">
        <w:t>PhD in STEM, STEM education or related field</w:t>
      </w:r>
    </w:p>
    <w:p w14:paraId="4288D5CB" w14:textId="77777777" w:rsidR="000706E1" w:rsidRPr="000706E1" w:rsidRDefault="000706E1" w:rsidP="000706E1">
      <w:pPr>
        <w:pStyle w:val="ListParagraph"/>
        <w:numPr>
          <w:ilvl w:val="0"/>
          <w:numId w:val="13"/>
        </w:numPr>
        <w:spacing w:after="0"/>
      </w:pPr>
      <w:r w:rsidRPr="000706E1">
        <w:t>Proficiency with Microsoft Office Suite and Google Apps</w:t>
      </w:r>
    </w:p>
    <w:p w14:paraId="167E99C6" w14:textId="77777777" w:rsidR="000706E1" w:rsidRPr="000706E1" w:rsidRDefault="000706E1" w:rsidP="000706E1">
      <w:pPr>
        <w:pStyle w:val="ListParagraph"/>
        <w:numPr>
          <w:ilvl w:val="0"/>
          <w:numId w:val="13"/>
        </w:numPr>
        <w:spacing w:after="0"/>
      </w:pPr>
      <w:r w:rsidRPr="000706E1">
        <w:t>Experience with data analysis and writing that would contribute to assessment, reports and grant-proposals</w:t>
      </w:r>
    </w:p>
    <w:p w14:paraId="11DE1048" w14:textId="77777777" w:rsidR="000706E1" w:rsidRPr="000706E1" w:rsidRDefault="000706E1" w:rsidP="000706E1">
      <w:pPr>
        <w:pStyle w:val="ListParagraph"/>
        <w:numPr>
          <w:ilvl w:val="0"/>
          <w:numId w:val="13"/>
        </w:numPr>
        <w:spacing w:after="0"/>
      </w:pPr>
      <w:r w:rsidRPr="000706E1">
        <w:t>Knowledge of literature on institutional change, teaching evaluation, and diversity, equity and inclusion</w:t>
      </w:r>
    </w:p>
    <w:p w14:paraId="6390CF24" w14:textId="0F235B59" w:rsidR="000706E1" w:rsidRPr="000706E1" w:rsidRDefault="000706E1" w:rsidP="000706E1">
      <w:pPr>
        <w:pStyle w:val="ListParagraph"/>
        <w:numPr>
          <w:ilvl w:val="0"/>
          <w:numId w:val="13"/>
        </w:numPr>
        <w:spacing w:after="0"/>
      </w:pPr>
      <w:r w:rsidRPr="000706E1">
        <w:t>Experience in discipline-based education research within one of the STEM disciplines</w:t>
      </w:r>
    </w:p>
    <w:p w14:paraId="4399DFD8" w14:textId="77777777" w:rsidR="001E7252" w:rsidRPr="000706E1" w:rsidRDefault="001E7252" w:rsidP="000706E1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0706E1">
        <w:rPr>
          <w:rFonts w:asciiTheme="minorHAnsi" w:hAnsiTheme="minorHAnsi" w:cstheme="minorHAnsi"/>
          <w:b/>
          <w:sz w:val="22"/>
          <w:szCs w:val="22"/>
        </w:rPr>
        <w:t>Application Instructions:</w:t>
      </w:r>
    </w:p>
    <w:p w14:paraId="012D4521" w14:textId="1625A53D" w:rsidR="001E7252" w:rsidRPr="000706E1" w:rsidRDefault="001E7252" w:rsidP="000706E1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color w:val="3C4C4C"/>
          <w:sz w:val="22"/>
          <w:szCs w:val="22"/>
        </w:rPr>
      </w:pPr>
      <w:r w:rsidRPr="000706E1">
        <w:rPr>
          <w:rFonts w:asciiTheme="minorHAnsi" w:hAnsiTheme="minorHAnsi" w:cstheme="minorHAnsi"/>
          <w:sz w:val="22"/>
          <w:szCs w:val="22"/>
        </w:rPr>
        <w:t>All applicants must apply via Interview</w:t>
      </w:r>
      <w:r w:rsidR="000706E1">
        <w:rPr>
          <w:rFonts w:asciiTheme="minorHAnsi" w:hAnsiTheme="minorHAnsi" w:cstheme="minorHAnsi"/>
          <w:sz w:val="22"/>
          <w:szCs w:val="22"/>
        </w:rPr>
        <w:t xml:space="preserve"> </w:t>
      </w:r>
      <w:r w:rsidRPr="000706E1">
        <w:rPr>
          <w:rFonts w:asciiTheme="minorHAnsi" w:hAnsiTheme="minorHAnsi" w:cstheme="minorHAnsi"/>
          <w:sz w:val="22"/>
          <w:szCs w:val="22"/>
        </w:rPr>
        <w:t>Exchange: </w:t>
      </w:r>
      <w:r w:rsidR="000706E1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0706E1" w:rsidRPr="002B0EAE">
          <w:rPr>
            <w:rStyle w:val="Hyperlink"/>
            <w:rFonts w:asciiTheme="minorHAnsi" w:hAnsiTheme="minorHAnsi" w:cstheme="minorHAnsi"/>
            <w:sz w:val="22"/>
            <w:szCs w:val="22"/>
          </w:rPr>
          <w:t>http://binghamton.interviewexchange.com/candapply.jsp?JOBID=156999</w:t>
        </w:r>
      </w:hyperlink>
    </w:p>
    <w:p w14:paraId="40C1A66E" w14:textId="77777777" w:rsidR="001E7252" w:rsidRPr="000706E1" w:rsidRDefault="001E7252" w:rsidP="000706E1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706E1">
        <w:rPr>
          <w:rFonts w:asciiTheme="minorHAnsi" w:hAnsiTheme="minorHAnsi" w:cstheme="minorHAnsi"/>
          <w:sz w:val="22"/>
          <w:szCs w:val="22"/>
        </w:rPr>
        <w:t>Deadline for Internal Applicants: January 3, 2023</w:t>
      </w:r>
    </w:p>
    <w:p w14:paraId="601AA094" w14:textId="77777777" w:rsidR="001E7252" w:rsidRPr="000706E1" w:rsidRDefault="001E7252" w:rsidP="000706E1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706E1">
        <w:rPr>
          <w:rFonts w:asciiTheme="minorHAnsi" w:hAnsiTheme="minorHAnsi" w:cstheme="minorHAnsi"/>
          <w:sz w:val="22"/>
          <w:szCs w:val="22"/>
        </w:rPr>
        <w:t>Deadline for External Applicants:  Open until filled</w:t>
      </w:r>
    </w:p>
    <w:p w14:paraId="788F322B" w14:textId="77777777" w:rsidR="001E7252" w:rsidRPr="000706E1" w:rsidRDefault="001E7252" w:rsidP="000706E1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706E1">
        <w:rPr>
          <w:rFonts w:asciiTheme="minorHAnsi" w:hAnsiTheme="minorHAnsi" w:cstheme="minorHAnsi"/>
          <w:sz w:val="22"/>
          <w:szCs w:val="22"/>
        </w:rPr>
        <w:t>Review of applications will begin immediately and continue until the vacancy is filled.</w:t>
      </w:r>
    </w:p>
    <w:p w14:paraId="288484BF" w14:textId="77777777" w:rsidR="001E7252" w:rsidRPr="000706E1" w:rsidRDefault="001E7252" w:rsidP="000706E1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706E1">
        <w:rPr>
          <w:rFonts w:asciiTheme="minorHAnsi" w:hAnsiTheme="minorHAnsi" w:cstheme="minorHAnsi"/>
          <w:sz w:val="22"/>
          <w:szCs w:val="22"/>
        </w:rPr>
        <w:t>Please submit:</w:t>
      </w:r>
    </w:p>
    <w:p w14:paraId="7EE5673A" w14:textId="77777777" w:rsidR="001E7252" w:rsidRPr="000706E1" w:rsidRDefault="001E7252" w:rsidP="000706E1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480" w:right="480"/>
        <w:rPr>
          <w:rFonts w:cstheme="minorHAnsi"/>
        </w:rPr>
      </w:pPr>
      <w:r w:rsidRPr="000706E1">
        <w:rPr>
          <w:rFonts w:cstheme="minorHAnsi"/>
        </w:rPr>
        <w:t>Cover letter (</w:t>
      </w:r>
      <w:proofErr w:type="gramStart"/>
      <w:r w:rsidRPr="000706E1">
        <w:rPr>
          <w:rFonts w:cstheme="minorHAnsi"/>
        </w:rPr>
        <w:t>1 page</w:t>
      </w:r>
      <w:proofErr w:type="gramEnd"/>
      <w:r w:rsidRPr="000706E1">
        <w:rPr>
          <w:rFonts w:cstheme="minorHAnsi"/>
        </w:rPr>
        <w:t xml:space="preserve"> maximum) telling us why you are interested in the position, why you feel you are qualified, and your contact information</w:t>
      </w:r>
    </w:p>
    <w:p w14:paraId="41B62617" w14:textId="77777777" w:rsidR="001E7252" w:rsidRPr="000706E1" w:rsidRDefault="001E7252" w:rsidP="000706E1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480" w:right="480"/>
        <w:rPr>
          <w:rFonts w:cstheme="minorHAnsi"/>
        </w:rPr>
      </w:pPr>
      <w:r w:rsidRPr="000706E1">
        <w:rPr>
          <w:rFonts w:cstheme="minorHAnsi"/>
        </w:rPr>
        <w:t>Curriculum vitae</w:t>
      </w:r>
    </w:p>
    <w:p w14:paraId="03E00A50" w14:textId="77777777" w:rsidR="001E7252" w:rsidRPr="000706E1" w:rsidRDefault="001E7252" w:rsidP="000706E1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480" w:right="480"/>
        <w:rPr>
          <w:rFonts w:cstheme="minorHAnsi"/>
        </w:rPr>
      </w:pPr>
      <w:r w:rsidRPr="000706E1">
        <w:rPr>
          <w:rFonts w:cstheme="minorHAnsi"/>
        </w:rPr>
        <w:t>Contact information for three professional references</w:t>
      </w:r>
    </w:p>
    <w:p w14:paraId="2DA9FF65" w14:textId="1E587C00" w:rsidR="00DA30D9" w:rsidRPr="00713730" w:rsidRDefault="00DA30D9" w:rsidP="000706E1">
      <w:pPr>
        <w:spacing w:after="0"/>
      </w:pPr>
    </w:p>
    <w:sectPr w:rsidR="00DA30D9" w:rsidRPr="00713730" w:rsidSect="00903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9DA"/>
    <w:multiLevelType w:val="hybridMultilevel"/>
    <w:tmpl w:val="CC9C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3545"/>
    <w:multiLevelType w:val="hybridMultilevel"/>
    <w:tmpl w:val="E32E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09E"/>
    <w:multiLevelType w:val="hybridMultilevel"/>
    <w:tmpl w:val="20BA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4BD7"/>
    <w:multiLevelType w:val="hybridMultilevel"/>
    <w:tmpl w:val="A3A8E98E"/>
    <w:lvl w:ilvl="0" w:tplc="4858CB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401E"/>
    <w:multiLevelType w:val="hybridMultilevel"/>
    <w:tmpl w:val="2326E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1D9D"/>
    <w:multiLevelType w:val="hybridMultilevel"/>
    <w:tmpl w:val="9390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632A"/>
    <w:multiLevelType w:val="hybridMultilevel"/>
    <w:tmpl w:val="2D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5220"/>
    <w:multiLevelType w:val="multilevel"/>
    <w:tmpl w:val="B74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E661B"/>
    <w:multiLevelType w:val="hybridMultilevel"/>
    <w:tmpl w:val="EE04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203CD"/>
    <w:multiLevelType w:val="hybridMultilevel"/>
    <w:tmpl w:val="1F3C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41C5"/>
    <w:multiLevelType w:val="hybridMultilevel"/>
    <w:tmpl w:val="053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530F8"/>
    <w:multiLevelType w:val="hybridMultilevel"/>
    <w:tmpl w:val="C93A4A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23E58"/>
    <w:multiLevelType w:val="hybridMultilevel"/>
    <w:tmpl w:val="CFFC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35"/>
    <w:rsid w:val="00002E3D"/>
    <w:rsid w:val="00027B6F"/>
    <w:rsid w:val="000706E1"/>
    <w:rsid w:val="001121C8"/>
    <w:rsid w:val="00126F1B"/>
    <w:rsid w:val="00130CB2"/>
    <w:rsid w:val="00180081"/>
    <w:rsid w:val="001949C2"/>
    <w:rsid w:val="001C361F"/>
    <w:rsid w:val="001C57B6"/>
    <w:rsid w:val="001E7252"/>
    <w:rsid w:val="00297768"/>
    <w:rsid w:val="002D77EB"/>
    <w:rsid w:val="003063AA"/>
    <w:rsid w:val="003678F5"/>
    <w:rsid w:val="00392B76"/>
    <w:rsid w:val="003C7FBF"/>
    <w:rsid w:val="003D06F0"/>
    <w:rsid w:val="003E1EE2"/>
    <w:rsid w:val="00440E37"/>
    <w:rsid w:val="00480AF4"/>
    <w:rsid w:val="004A1E2F"/>
    <w:rsid w:val="00517847"/>
    <w:rsid w:val="00537C7D"/>
    <w:rsid w:val="005C5131"/>
    <w:rsid w:val="005D2659"/>
    <w:rsid w:val="005E0A40"/>
    <w:rsid w:val="00600808"/>
    <w:rsid w:val="00610203"/>
    <w:rsid w:val="006263C8"/>
    <w:rsid w:val="00637193"/>
    <w:rsid w:val="0066219E"/>
    <w:rsid w:val="006D430A"/>
    <w:rsid w:val="006D4635"/>
    <w:rsid w:val="006E6567"/>
    <w:rsid w:val="006F2F84"/>
    <w:rsid w:val="00713730"/>
    <w:rsid w:val="00805144"/>
    <w:rsid w:val="0082719F"/>
    <w:rsid w:val="008903FB"/>
    <w:rsid w:val="008E392F"/>
    <w:rsid w:val="00903B82"/>
    <w:rsid w:val="00990032"/>
    <w:rsid w:val="009B3E83"/>
    <w:rsid w:val="009D678C"/>
    <w:rsid w:val="00AA2116"/>
    <w:rsid w:val="00AE785D"/>
    <w:rsid w:val="00B55A90"/>
    <w:rsid w:val="00B77C7B"/>
    <w:rsid w:val="00B9799C"/>
    <w:rsid w:val="00BB3AB9"/>
    <w:rsid w:val="00BD5208"/>
    <w:rsid w:val="00C722BB"/>
    <w:rsid w:val="00CB14CB"/>
    <w:rsid w:val="00CC6DF2"/>
    <w:rsid w:val="00CE1EE3"/>
    <w:rsid w:val="00CE5602"/>
    <w:rsid w:val="00D01DC7"/>
    <w:rsid w:val="00D37133"/>
    <w:rsid w:val="00D52206"/>
    <w:rsid w:val="00D72A72"/>
    <w:rsid w:val="00D773A6"/>
    <w:rsid w:val="00D8470F"/>
    <w:rsid w:val="00DA30D9"/>
    <w:rsid w:val="00DD4422"/>
    <w:rsid w:val="00E064EA"/>
    <w:rsid w:val="00E437AC"/>
    <w:rsid w:val="00E60746"/>
    <w:rsid w:val="00E67CF7"/>
    <w:rsid w:val="00EA7D09"/>
    <w:rsid w:val="00EB1FF9"/>
    <w:rsid w:val="00F95195"/>
    <w:rsid w:val="00FA7772"/>
    <w:rsid w:val="00FD4BF2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10C5"/>
  <w15:chartTrackingRefBased/>
  <w15:docId w15:val="{AACE2928-2E88-4555-AD42-91DF3BBB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635"/>
    <w:pPr>
      <w:ind w:left="720"/>
      <w:contextualSpacing/>
    </w:pPr>
  </w:style>
  <w:style w:type="table" w:styleId="TableGrid">
    <w:name w:val="Table Grid"/>
    <w:basedOn w:val="TableNormal"/>
    <w:uiPriority w:val="39"/>
    <w:rsid w:val="0080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7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3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7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DF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nghamton.interviewexchange.com/candapply.jsp?JOBID=156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viroethics.org/2014/12/06/job-director-env-studies-prog-binghamton-university-sun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Binghamton University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Fegley, Megan</dc:creator>
  <cp:keywords/>
  <dc:description/>
  <cp:lastModifiedBy>Megan Fegley</cp:lastModifiedBy>
  <cp:revision>2</cp:revision>
  <cp:lastPrinted>2021-09-13T14:00:00Z</cp:lastPrinted>
  <dcterms:created xsi:type="dcterms:W3CDTF">2022-12-19T15:32:00Z</dcterms:created>
  <dcterms:modified xsi:type="dcterms:W3CDTF">2022-12-19T15:32:00Z</dcterms:modified>
</cp:coreProperties>
</file>